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19168C03"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3B07D1">
        <w:t xml:space="preserve"> warzyw i owoców</w:t>
      </w:r>
      <w:r w:rsidR="00AD020E">
        <w:t xml:space="preserve"> dla potrzeb tutejszego Domu.</w:t>
      </w:r>
    </w:p>
    <w:p w14:paraId="4F4567FA" w14:textId="77777777" w:rsidR="00920341" w:rsidRDefault="00920341" w:rsidP="00920341">
      <w:pPr>
        <w:pStyle w:val="Tekstpodstawowy2"/>
      </w:pPr>
    </w:p>
    <w:p w14:paraId="4C8CFBC5" w14:textId="77777777" w:rsidR="00FA6622" w:rsidRDefault="00FA6622" w:rsidP="00FA6622">
      <w:pPr>
        <w:ind w:right="-142"/>
        <w:rPr>
          <w:b/>
          <w:sz w:val="24"/>
        </w:rPr>
      </w:pPr>
    </w:p>
    <w:p w14:paraId="3BF396EA" w14:textId="77777777" w:rsidR="00FA6622" w:rsidRDefault="00FA6622" w:rsidP="00FA6622">
      <w:pPr>
        <w:ind w:right="-142"/>
        <w:rPr>
          <w:b/>
          <w:sz w:val="24"/>
        </w:rPr>
      </w:pPr>
    </w:p>
    <w:p w14:paraId="4D1CB3A5" w14:textId="57A3A4BC" w:rsidR="00FA6622" w:rsidRDefault="00FA6622" w:rsidP="00FA6622">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6124A5DE" w14:textId="77777777" w:rsidR="00FA6622" w:rsidRDefault="00FA6622" w:rsidP="00FA6622">
      <w:pPr>
        <w:ind w:right="-142"/>
        <w:rPr>
          <w:sz w:val="24"/>
        </w:rPr>
      </w:pPr>
      <w:r>
        <w:rPr>
          <w:b/>
          <w:sz w:val="24"/>
        </w:rPr>
        <w:t xml:space="preserve">     </w:t>
      </w:r>
      <w:r>
        <w:rPr>
          <w:sz w:val="24"/>
        </w:rPr>
        <w:t xml:space="preserve"> </w:t>
      </w:r>
    </w:p>
    <w:p w14:paraId="55FC2930" w14:textId="77777777" w:rsidR="00FA6622" w:rsidRDefault="00FA6622" w:rsidP="00FA6622">
      <w:pPr>
        <w:ind w:right="-142"/>
        <w:rPr>
          <w:sz w:val="24"/>
        </w:rPr>
      </w:pPr>
    </w:p>
    <w:p w14:paraId="45C4F3B9" w14:textId="77777777" w:rsidR="00FA6622" w:rsidRDefault="00FA6622" w:rsidP="00FA6622">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2FC6DF84" w14:textId="77777777" w:rsidR="00FA6622" w:rsidRDefault="00FA6622" w:rsidP="00FA6622">
      <w:pPr>
        <w:rPr>
          <w:sz w:val="24"/>
        </w:rPr>
      </w:pPr>
    </w:p>
    <w:p w14:paraId="7B79A696" w14:textId="2842E935" w:rsidR="00FA6622" w:rsidRDefault="00FA6622" w:rsidP="00FA6622">
      <w:pPr>
        <w:rPr>
          <w:i/>
          <w:sz w:val="24"/>
        </w:rPr>
      </w:pPr>
      <w:r>
        <w:rPr>
          <w:i/>
          <w:sz w:val="24"/>
        </w:rPr>
        <w:t>data    1</w:t>
      </w:r>
      <w:r w:rsidR="00C9408E">
        <w:rPr>
          <w:i/>
          <w:sz w:val="24"/>
        </w:rPr>
        <w:t>9</w:t>
      </w:r>
      <w:r>
        <w:rPr>
          <w:i/>
          <w:sz w:val="24"/>
        </w:rPr>
        <w:t>.12.2022r.</w:t>
      </w:r>
    </w:p>
    <w:p w14:paraId="04F8CE51" w14:textId="77777777" w:rsidR="00FA6622" w:rsidRDefault="00FA6622" w:rsidP="00FA6622">
      <w:pPr>
        <w:rPr>
          <w:i/>
          <w:sz w:val="24"/>
        </w:rPr>
      </w:pPr>
    </w:p>
    <w:p w14:paraId="580FBCC9" w14:textId="77777777" w:rsidR="00FA6622" w:rsidRDefault="00FA6622" w:rsidP="00FA6622">
      <w:pPr>
        <w:ind w:right="-142"/>
        <w:rPr>
          <w:b/>
          <w:sz w:val="24"/>
        </w:rPr>
      </w:pPr>
    </w:p>
    <w:p w14:paraId="6ECA502C" w14:textId="77777777" w:rsidR="00FA6622" w:rsidRDefault="00FA6622" w:rsidP="00FA6622">
      <w:pPr>
        <w:ind w:right="-142"/>
        <w:rPr>
          <w:b/>
          <w:sz w:val="24"/>
        </w:rPr>
      </w:pPr>
    </w:p>
    <w:p w14:paraId="62728A10" w14:textId="77777777" w:rsidR="00FA6622" w:rsidRDefault="00FA6622" w:rsidP="00FA6622">
      <w:pPr>
        <w:ind w:right="-142"/>
        <w:rPr>
          <w:b/>
          <w:sz w:val="24"/>
        </w:rPr>
      </w:pPr>
    </w:p>
    <w:p w14:paraId="5F277F2C" w14:textId="77777777" w:rsidR="00FA6622" w:rsidRDefault="00FA6622" w:rsidP="00FA6622">
      <w:pPr>
        <w:ind w:right="-142"/>
        <w:rPr>
          <w:b/>
          <w:sz w:val="24"/>
        </w:rPr>
      </w:pPr>
    </w:p>
    <w:p w14:paraId="0946A264" w14:textId="77777777" w:rsidR="00FA6622" w:rsidRDefault="00FA6622" w:rsidP="00FA6622">
      <w:pPr>
        <w:ind w:right="-142"/>
        <w:rPr>
          <w:b/>
          <w:sz w:val="24"/>
        </w:rPr>
      </w:pPr>
    </w:p>
    <w:p w14:paraId="75D07CEA" w14:textId="77777777" w:rsidR="00FA6622" w:rsidRDefault="00FA6622" w:rsidP="00FA6622">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A550BC0" w14:textId="77777777" w:rsidR="00FA6622" w:rsidRDefault="00FA6622" w:rsidP="00FA6622">
      <w:pPr>
        <w:ind w:right="-142"/>
        <w:rPr>
          <w:b/>
          <w:sz w:val="24"/>
        </w:rPr>
      </w:pPr>
    </w:p>
    <w:p w14:paraId="0BB0B093" w14:textId="77777777" w:rsidR="00FA6622" w:rsidRDefault="00FA6622" w:rsidP="00FA6622">
      <w:pPr>
        <w:ind w:right="-142"/>
        <w:rPr>
          <w:b/>
          <w:sz w:val="24"/>
        </w:rPr>
      </w:pPr>
    </w:p>
    <w:p w14:paraId="1472B97E" w14:textId="77777777" w:rsidR="00FA6622" w:rsidRDefault="00FA6622" w:rsidP="00FA6622">
      <w:pPr>
        <w:ind w:right="-142"/>
        <w:rPr>
          <w:b/>
          <w:sz w:val="24"/>
        </w:rPr>
      </w:pPr>
    </w:p>
    <w:p w14:paraId="1042D232" w14:textId="77777777" w:rsidR="00FA6622" w:rsidRDefault="00FA6622" w:rsidP="00FA6622">
      <w:pPr>
        <w:ind w:right="-142"/>
        <w:rPr>
          <w:b/>
          <w:sz w:val="24"/>
        </w:rPr>
      </w:pPr>
    </w:p>
    <w:p w14:paraId="6E867D36" w14:textId="77777777" w:rsidR="00FA6622" w:rsidRDefault="00FA6622" w:rsidP="00FA6622">
      <w:pPr>
        <w:ind w:right="-142"/>
        <w:rPr>
          <w:b/>
          <w:sz w:val="24"/>
        </w:rPr>
      </w:pPr>
      <w:r>
        <w:rPr>
          <w:b/>
          <w:sz w:val="24"/>
        </w:rPr>
        <w:tab/>
      </w:r>
      <w:r>
        <w:rPr>
          <w:b/>
          <w:sz w:val="24"/>
        </w:rPr>
        <w:tab/>
      </w:r>
      <w:r>
        <w:rPr>
          <w:b/>
          <w:sz w:val="24"/>
        </w:rPr>
        <w:tab/>
      </w:r>
      <w:r>
        <w:rPr>
          <w:b/>
          <w:sz w:val="24"/>
        </w:rPr>
        <w:tab/>
        <w:t xml:space="preserve">                                               ZATWIERDZIŁ :</w:t>
      </w:r>
    </w:p>
    <w:p w14:paraId="387E7189" w14:textId="77777777" w:rsidR="00FA6622" w:rsidRDefault="00FA6622" w:rsidP="00FA6622">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65D6646B" w14:textId="77777777" w:rsidR="00FA6622" w:rsidRDefault="00FA6622" w:rsidP="00FA6622">
      <w:pPr>
        <w:ind w:left="5664" w:firstLine="6"/>
        <w:rPr>
          <w:b/>
          <w:sz w:val="24"/>
        </w:rPr>
      </w:pPr>
      <w:r>
        <w:rPr>
          <w:b/>
          <w:sz w:val="24"/>
        </w:rPr>
        <w:t>DYREKTOR DOMU POMOCY SPOŁECZNEJ W BIAŁYMSTOKU</w:t>
      </w:r>
    </w:p>
    <w:p w14:paraId="6CD739EE" w14:textId="77777777" w:rsidR="00FA6622" w:rsidRDefault="00FA6622" w:rsidP="00FA6622">
      <w:pPr>
        <w:ind w:right="-142"/>
        <w:rPr>
          <w:sz w:val="24"/>
        </w:rPr>
      </w:pPr>
      <w:r>
        <w:rPr>
          <w:sz w:val="24"/>
        </w:rPr>
        <w:t xml:space="preserve">. </w:t>
      </w:r>
      <w:r>
        <w:rPr>
          <w:sz w:val="24"/>
        </w:rPr>
        <w:tab/>
      </w:r>
      <w:r>
        <w:rPr>
          <w:sz w:val="24"/>
        </w:rPr>
        <w:tab/>
      </w:r>
      <w:r>
        <w:rPr>
          <w:sz w:val="24"/>
        </w:rPr>
        <w:tab/>
      </w:r>
      <w:r>
        <w:rPr>
          <w:sz w:val="24"/>
        </w:rPr>
        <w:tab/>
      </w:r>
    </w:p>
    <w:p w14:paraId="17D6503B" w14:textId="77777777" w:rsidR="00FA6622" w:rsidRDefault="00FA6622" w:rsidP="00FA6622">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13D0A926" w14:textId="77777777" w:rsidR="00FA6622" w:rsidRDefault="00FA6622" w:rsidP="00FA6622">
      <w:pPr>
        <w:ind w:right="-142"/>
        <w:rPr>
          <w:sz w:val="24"/>
        </w:rPr>
      </w:pPr>
    </w:p>
    <w:p w14:paraId="46F5D5BF" w14:textId="77777777" w:rsidR="00FA6622" w:rsidRDefault="00FA6622" w:rsidP="00FA6622">
      <w:pPr>
        <w:ind w:right="-142"/>
        <w:rPr>
          <w:sz w:val="24"/>
        </w:rPr>
      </w:pPr>
      <w:r>
        <w:rPr>
          <w:sz w:val="24"/>
        </w:rPr>
        <w:t xml:space="preserve">                                                                                                 WOJCIECH JOCZ - DYREKTOR</w:t>
      </w:r>
    </w:p>
    <w:p w14:paraId="6015CA0A" w14:textId="77777777" w:rsidR="00FA6622" w:rsidRDefault="00FA6622" w:rsidP="00FA6622">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3EF4D0AD" w14:textId="77777777" w:rsidR="00FA6622" w:rsidRDefault="00FA6622" w:rsidP="00FA6622">
      <w:pPr>
        <w:ind w:left="1416"/>
        <w:rPr>
          <w:i/>
          <w:sz w:val="24"/>
        </w:rPr>
      </w:pPr>
    </w:p>
    <w:p w14:paraId="50F65E07" w14:textId="77777777" w:rsidR="00FA6622" w:rsidRDefault="00FA6622" w:rsidP="00FA6622">
      <w:pPr>
        <w:ind w:left="1416"/>
        <w:rPr>
          <w:i/>
          <w:sz w:val="24"/>
        </w:rPr>
      </w:pPr>
    </w:p>
    <w:p w14:paraId="168222F0" w14:textId="5EC7577D" w:rsidR="00FA6622" w:rsidRDefault="00FA6622" w:rsidP="00FA6622">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w:t>
      </w:r>
      <w:r w:rsidR="00C9408E">
        <w:rPr>
          <w:sz w:val="24"/>
        </w:rPr>
        <w:t>9</w:t>
      </w:r>
      <w:r>
        <w:rPr>
          <w:sz w:val="24"/>
        </w:rPr>
        <w:t xml:space="preserve">.12.2022r.                   </w:t>
      </w:r>
    </w:p>
    <w:p w14:paraId="19831659" w14:textId="77777777" w:rsidR="00FA6622" w:rsidRDefault="00FA6622" w:rsidP="00FA6622">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4FD20E8" w14:textId="77777777" w:rsidR="00FA6622" w:rsidRDefault="00FA6622" w:rsidP="00FA6622">
      <w:pPr>
        <w:tabs>
          <w:tab w:val="left" w:pos="1215"/>
        </w:tabs>
        <w:jc w:val="both"/>
        <w:rPr>
          <w:i/>
          <w:sz w:val="24"/>
        </w:rPr>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701BF151" w14:textId="73621D90" w:rsidR="00920341" w:rsidRDefault="00920341" w:rsidP="00FA6622">
      <w:pPr>
        <w:tabs>
          <w:tab w:val="left" w:pos="1215"/>
        </w:tabs>
        <w:jc w:val="both"/>
        <w:rPr>
          <w:i/>
          <w:sz w:val="24"/>
        </w:rPr>
      </w:pPr>
      <w:bookmarkStart w:id="0" w:name="_Część_I._Informacje"/>
      <w:bookmarkEnd w:id="0"/>
    </w:p>
    <w:p w14:paraId="16150D68" w14:textId="77777777" w:rsidR="00FA6622" w:rsidRPr="00FA6622" w:rsidRDefault="00FA6622" w:rsidP="00FA6622">
      <w:pPr>
        <w:tabs>
          <w:tab w:val="left" w:pos="1215"/>
        </w:tabs>
        <w:jc w:val="both"/>
        <w:rPr>
          <w:i/>
          <w:sz w:val="24"/>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4850A19" w:rsidR="008B17B6" w:rsidRPr="005A01B1" w:rsidRDefault="008B17B6" w:rsidP="008B17B6">
      <w:pPr>
        <w:jc w:val="both"/>
        <w:rPr>
          <w:sz w:val="24"/>
        </w:rPr>
      </w:pPr>
      <w:r w:rsidRPr="005A01B1">
        <w:rPr>
          <w:sz w:val="24"/>
        </w:rPr>
        <w:t>Podstawa prawna opracowania Specyfikacji</w:t>
      </w:r>
      <w:r w:rsidR="0038198E">
        <w:rPr>
          <w:sz w:val="24"/>
        </w:rPr>
        <w:t xml:space="preserve"> </w:t>
      </w:r>
      <w:r w:rsidRPr="005A01B1">
        <w:rPr>
          <w:sz w:val="24"/>
        </w:rPr>
        <w:t>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666C9490" w14:textId="77F6FA88" w:rsidR="003B07D1" w:rsidRPr="00760B6C" w:rsidRDefault="003B07D1" w:rsidP="003B07D1">
      <w:pPr>
        <w:ind w:firstLine="708"/>
        <w:jc w:val="both"/>
        <w:rPr>
          <w:sz w:val="24"/>
          <w:szCs w:val="24"/>
        </w:rPr>
      </w:pPr>
      <w:r>
        <w:rPr>
          <w:sz w:val="24"/>
          <w:szCs w:val="24"/>
        </w:rPr>
        <w:t>Sprzedaż i dostawa warzyw i owoców dla Domu Pomocy Społecznej w Białymstoku,               ul. Baranowicka 203 wyszczególnionych w wykazie artykułów stanowiącym załączni</w:t>
      </w:r>
      <w:r w:rsidR="00F41B6D">
        <w:rPr>
          <w:sz w:val="24"/>
          <w:szCs w:val="24"/>
        </w:rPr>
        <w:t>k Nr 1 do Specyfikacji</w:t>
      </w:r>
      <w:r>
        <w:rPr>
          <w:sz w:val="24"/>
          <w:szCs w:val="24"/>
        </w:rPr>
        <w:t xml:space="preserve"> Warunków Zamówienia. </w:t>
      </w:r>
    </w:p>
    <w:p w14:paraId="6E8C4CD3" w14:textId="77777777" w:rsidR="003B07D1" w:rsidRDefault="003B07D1" w:rsidP="003B07D1">
      <w:pPr>
        <w:jc w:val="both"/>
        <w:rPr>
          <w:sz w:val="24"/>
        </w:rPr>
      </w:pPr>
      <w:r>
        <w:rPr>
          <w:sz w:val="24"/>
        </w:rPr>
        <w:t>Nazwa i kod według CPV:</w:t>
      </w:r>
    </w:p>
    <w:p w14:paraId="176C25CD" w14:textId="77777777" w:rsidR="003B07D1" w:rsidRDefault="003B07D1" w:rsidP="003B07D1">
      <w:pPr>
        <w:jc w:val="both"/>
        <w:rPr>
          <w:sz w:val="24"/>
        </w:rPr>
      </w:pPr>
      <w:r>
        <w:rPr>
          <w:sz w:val="24"/>
        </w:rPr>
        <w:t xml:space="preserve">15300000-1 – owoce, warzywa i produkty podobne  </w:t>
      </w:r>
    </w:p>
    <w:p w14:paraId="2AF2F9B9" w14:textId="77777777" w:rsidR="003B07D1" w:rsidRDefault="003B07D1" w:rsidP="003B07D1">
      <w:pPr>
        <w:jc w:val="both"/>
        <w:rPr>
          <w:sz w:val="24"/>
        </w:rPr>
      </w:pPr>
      <w:r w:rsidRPr="005E11ED">
        <w:rPr>
          <w:b/>
          <w:sz w:val="24"/>
        </w:rPr>
        <w:t xml:space="preserve">Warzywa i owoce powinny być dostarczone do magazynu artykułów żywnościowych </w:t>
      </w:r>
      <w:r>
        <w:rPr>
          <w:b/>
          <w:sz w:val="24"/>
        </w:rPr>
        <w:br/>
      </w:r>
      <w:r w:rsidRPr="005E11ED">
        <w:rPr>
          <w:b/>
          <w:sz w:val="24"/>
        </w:rPr>
        <w:t xml:space="preserve">w dni robocze od poniedziałku do piątku w godzinach </w:t>
      </w:r>
      <w:r>
        <w:rPr>
          <w:b/>
          <w:sz w:val="24"/>
        </w:rPr>
        <w:t>8</w:t>
      </w:r>
      <w:r w:rsidRPr="005E11ED">
        <w:rPr>
          <w:b/>
          <w:sz w:val="24"/>
        </w:rPr>
        <w:t>.</w:t>
      </w:r>
      <w:r>
        <w:rPr>
          <w:b/>
          <w:sz w:val="24"/>
        </w:rPr>
        <w:t>0</w:t>
      </w:r>
      <w:r w:rsidRPr="005E11ED">
        <w:rPr>
          <w:b/>
          <w:sz w:val="24"/>
        </w:rPr>
        <w:t>0. – 1</w:t>
      </w:r>
      <w:r>
        <w:rPr>
          <w:b/>
          <w:sz w:val="24"/>
        </w:rPr>
        <w:t>0</w:t>
      </w:r>
      <w:r w:rsidRPr="005E11ED">
        <w:rPr>
          <w:b/>
          <w:sz w:val="24"/>
        </w:rPr>
        <w:t>.00</w:t>
      </w:r>
      <w:r>
        <w:rPr>
          <w:sz w:val="24"/>
        </w:rPr>
        <w:t xml:space="preserve">. Zapotrzebowanie na poszczególne artykuły (ilość, rodzaj i dzień dostawy) będzie składane telefonicznie przez Zamawiającego w dniu poprzedzającym dostawę. Dostarczone artykuły muszą spełniać wymogi jakościowe dla I gatunku danego asortymentu, posiadać optymalny termin przydatności do spożycia oraz odpowiadać ilościom i asortymentowi złożonego zamówienia. Wykonawca może dostarczyć zamówione warzywa i owoce w innym gatunku niż pierwszy </w:t>
      </w:r>
      <w:r>
        <w:rPr>
          <w:sz w:val="24"/>
        </w:rPr>
        <w:br/>
        <w:t xml:space="preserve">za zgodą Zamawiającego, jednak cena tych artykułów powinna być odpowiednio niższa do jakości dostarczonego towaru (gatunku). Jakość (gatunek I) warzyw i owoców oraz sposób ich dostawy do Zamawiającego powinny spełniać wymogi określone w stosownych przepisach. Wykonawca dostarczy Zamawiającemu na jego żądanie dane osobowe producenta dostarczonych produktów (warzyw i owoców). </w:t>
      </w:r>
    </w:p>
    <w:p w14:paraId="4662F64A" w14:textId="77777777" w:rsidR="003B07D1" w:rsidRDefault="003B07D1" w:rsidP="003B07D1">
      <w:pPr>
        <w:jc w:val="both"/>
        <w:rPr>
          <w:sz w:val="24"/>
        </w:rPr>
      </w:pPr>
      <w:r>
        <w:rPr>
          <w:sz w:val="24"/>
        </w:rPr>
        <w:t xml:space="preserve">Ziemniaki powinny być dostarczone w workach a’15 kg. W przypadku stwierdzenia przez Zamawiającego w trakcie przyjmowania dostawy ziemniaków, iż w workach znajdują się ziemniaki zawilgocone, zmrożone, uszkodzone lub drobne robaczywe (tzw. nie sortowane) </w:t>
      </w:r>
      <w:r>
        <w:rPr>
          <w:sz w:val="24"/>
        </w:rPr>
        <w:lastRenderedPageBreak/>
        <w:t xml:space="preserve">wówczas Zamawiający zrezygnuje z całej dostawy nie ponosząc z tego tytułu żadnych kosztów. Dostawa odbywa się transportem i na koszt Wykonawcy. Warzywa </w:t>
      </w:r>
      <w:r>
        <w:rPr>
          <w:sz w:val="24"/>
        </w:rPr>
        <w:br/>
        <w:t xml:space="preserve">i owoce oraz sposób ich dostawy do Zamawiającego muszą spełniać wymogi określone </w:t>
      </w:r>
      <w:r>
        <w:rPr>
          <w:sz w:val="24"/>
        </w:rPr>
        <w:br/>
        <w:t>w stosownych przepisach. Na dostarczone artykuły wykonawca wystawi fakturę VAT, którą Zamawiający opłaci przelewem.</w:t>
      </w:r>
    </w:p>
    <w:p w14:paraId="5D8F44AE" w14:textId="77777777" w:rsidR="003B07D1" w:rsidRDefault="003B07D1" w:rsidP="003B07D1">
      <w:pPr>
        <w:jc w:val="both"/>
        <w:rPr>
          <w:sz w:val="24"/>
        </w:rPr>
      </w:pPr>
      <w:r>
        <w:rPr>
          <w:sz w:val="24"/>
        </w:rPr>
        <w:t xml:space="preserve">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lub finansowych. </w:t>
      </w:r>
    </w:p>
    <w:p w14:paraId="5C4AB235" w14:textId="77777777" w:rsidR="003B07D1" w:rsidRDefault="003B07D1" w:rsidP="003B07D1">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5138D26B" w14:textId="79154EC2" w:rsidR="00733442" w:rsidRDefault="003B07D1" w:rsidP="003B07D1">
      <w:pPr>
        <w:jc w:val="both"/>
        <w:rPr>
          <w:sz w:val="24"/>
        </w:rPr>
      </w:pPr>
      <w:r>
        <w:rPr>
          <w:sz w:val="24"/>
        </w:rPr>
        <w:t>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w:t>
      </w:r>
      <w:r w:rsidR="00F41B6D">
        <w:rPr>
          <w:sz w:val="24"/>
        </w:rPr>
        <w:t>runków opisanych w niniejszej S</w:t>
      </w:r>
      <w:r>
        <w:rPr>
          <w:sz w:val="24"/>
        </w:rPr>
        <w:t>WZ umowa zostanie rozwiązana ze skutkiem natychmiastowym i rozpisane zostanie nowe postępowanie o udzielenie zamówienia</w:t>
      </w:r>
    </w:p>
    <w:p w14:paraId="7403520A" w14:textId="77777777" w:rsidR="003B07D1" w:rsidRPr="00733442" w:rsidRDefault="003B07D1" w:rsidP="003B07D1">
      <w:pPr>
        <w:jc w:val="both"/>
      </w:pP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157DF4CB"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38198E">
        <w:rPr>
          <w:b/>
          <w:sz w:val="26"/>
        </w:rPr>
        <w:t>8</w:t>
      </w:r>
      <w:r>
        <w:rPr>
          <w:b/>
          <w:sz w:val="26"/>
        </w:rPr>
        <w:t xml:space="preserve"> ustawy</w:t>
      </w:r>
    </w:p>
    <w:p w14:paraId="38A0CA8E" w14:textId="77777777" w:rsidR="005F70A7" w:rsidRDefault="005F70A7" w:rsidP="00AF1E48">
      <w:pPr>
        <w:jc w:val="both"/>
        <w:rPr>
          <w:b/>
          <w:sz w:val="28"/>
        </w:rPr>
      </w:pPr>
    </w:p>
    <w:p w14:paraId="0B8774F8" w14:textId="58A5A319" w:rsidR="005F70A7" w:rsidRPr="00C11F23" w:rsidRDefault="005F70A7" w:rsidP="00AF1E48">
      <w:pPr>
        <w:jc w:val="both"/>
        <w:rPr>
          <w:sz w:val="24"/>
        </w:rPr>
      </w:pPr>
      <w:r w:rsidRPr="00C11F23">
        <w:rPr>
          <w:sz w:val="24"/>
        </w:rPr>
        <w:t>Zamawiający</w:t>
      </w:r>
      <w:r w:rsidR="0038198E">
        <w:rPr>
          <w:sz w:val="24"/>
        </w:rPr>
        <w:t xml:space="preserve"> </w:t>
      </w:r>
      <w:r w:rsidRPr="00C11F23">
        <w:rPr>
          <w:sz w:val="24"/>
        </w:rPr>
        <w:t xml:space="preserve">przewiduje możliwości udzielenia zamówień uzupełniających w trybie art. </w:t>
      </w:r>
      <w:r w:rsidR="003150EC">
        <w:rPr>
          <w:sz w:val="24"/>
        </w:rPr>
        <w:t>241</w:t>
      </w:r>
      <w:r w:rsidRPr="00C11F23">
        <w:rPr>
          <w:sz w:val="24"/>
        </w:rPr>
        <w:t xml:space="preserve"> ust. 1 pkt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B124A60" w:rsidR="005F70A7" w:rsidRDefault="005F70A7" w:rsidP="00AF1E48">
      <w:pPr>
        <w:pStyle w:val="Tekstpodstawowy2"/>
      </w:pPr>
      <w:r>
        <w:t>Wymagany termin realizacji zam</w:t>
      </w:r>
      <w:r w:rsidR="00A53B9B">
        <w:t xml:space="preserve">ówienia – </w:t>
      </w:r>
      <w:r w:rsidR="007F5782">
        <w:t>od 01.01.202</w:t>
      </w:r>
      <w:r w:rsidR="002F5071">
        <w:t>3</w:t>
      </w:r>
      <w:r w:rsidR="007F5782">
        <w:t>r. do 3</w:t>
      </w:r>
      <w:r w:rsidR="003B2530">
        <w:t>0</w:t>
      </w:r>
      <w:r w:rsidR="007F5782">
        <w:t>.</w:t>
      </w:r>
      <w:r w:rsidR="003B2530">
        <w:t>09</w:t>
      </w:r>
      <w:r w:rsidR="007F5782">
        <w:t>.202</w:t>
      </w:r>
      <w:r w:rsidR="002F5071">
        <w:t>3</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42A7183E" w14:textId="4416D9F9" w:rsidR="00733442" w:rsidRPr="0038198E" w:rsidRDefault="005E07EE" w:rsidP="0038198E">
      <w:pPr>
        <w:numPr>
          <w:ilvl w:val="0"/>
          <w:numId w:val="23"/>
        </w:numPr>
        <w:jc w:val="both"/>
        <w:rPr>
          <w:color w:val="FF0000"/>
          <w:sz w:val="24"/>
        </w:rPr>
      </w:pPr>
      <w:r w:rsidRPr="00FF1F94">
        <w:rPr>
          <w:sz w:val="24"/>
        </w:rPr>
        <w:t>zdolności technicznej lub zawodowej</w:t>
      </w:r>
      <w:r w:rsidRPr="000D2A74">
        <w:rPr>
          <w:sz w:val="24"/>
        </w:rPr>
        <w:t>,</w:t>
      </w:r>
    </w:p>
    <w:p w14:paraId="43AB37F1" w14:textId="77777777" w:rsidR="00EB63A1" w:rsidRDefault="00EB63A1" w:rsidP="00257BD6">
      <w:pPr>
        <w:jc w:val="both"/>
        <w:rPr>
          <w:b/>
          <w:sz w:val="26"/>
        </w:rPr>
      </w:pPr>
    </w:p>
    <w:p w14:paraId="773678C0" w14:textId="2CE7621A"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76F3581A"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2F5071">
        <w:rPr>
          <w:sz w:val="24"/>
          <w:szCs w:val="24"/>
        </w:rPr>
        <w:t xml:space="preserve"> i 109</w:t>
      </w:r>
      <w:r w:rsidR="00113790">
        <w:rPr>
          <w:sz w:val="24"/>
          <w:szCs w:val="24"/>
        </w:rPr>
        <w:t xml:space="preserve"> ustawy Pzp.</w:t>
      </w:r>
    </w:p>
    <w:p w14:paraId="3CDA4192" w14:textId="77777777" w:rsidR="00A53B9B" w:rsidRDefault="00A53B9B" w:rsidP="007D477E">
      <w:pPr>
        <w:jc w:val="both"/>
        <w:rPr>
          <w:b/>
          <w:sz w:val="26"/>
        </w:rPr>
      </w:pPr>
    </w:p>
    <w:p w14:paraId="1C1258A1" w14:textId="73C33FD7"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w:t>
      </w:r>
      <w:r w:rsidR="00D53BC1">
        <w:rPr>
          <w:b/>
          <w:sz w:val="26"/>
        </w:rPr>
        <w:t>.</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2B4B05EB"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3BB509F0"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w:t>
      </w:r>
      <w:r w:rsidRPr="008E0D60">
        <w:rPr>
          <w:rFonts w:ascii="Times New Roman" w:hAnsi="Times New Roman"/>
          <w:sz w:val="24"/>
          <w:szCs w:val="24"/>
        </w:rPr>
        <w:lastRenderedPageBreak/>
        <w:t xml:space="preserve">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w:t>
      </w:r>
      <w:r w:rsidRPr="008E0D60">
        <w:rPr>
          <w:rFonts w:ascii="Times New Roman" w:hAnsi="Times New Roman"/>
          <w:sz w:val="24"/>
          <w:szCs w:val="24"/>
        </w:rPr>
        <w:lastRenderedPageBreak/>
        <w:t xml:space="preserve">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210A737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w:t>
      </w:r>
      <w:r w:rsidR="0038198E">
        <w:t xml:space="preserve"> </w:t>
      </w:r>
      <w:r w:rsidRPr="00122D3D">
        <w:t>Warunków Zamówienia, sposobem przygotowania i złożenia oferty, kieruj</w:t>
      </w:r>
      <w:r>
        <w:t>ąc swoje zapytania pocztą elektroniczną</w:t>
      </w:r>
      <w:r w:rsidRPr="00122D3D">
        <w:t xml:space="preserve"> na adres </w:t>
      </w:r>
      <w:r>
        <w:t>Z</w:t>
      </w:r>
      <w:r w:rsidRPr="00122D3D">
        <w:t>amawiającego podany w rozdziale I SWZ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1938D964" w14:textId="77777777" w:rsidR="003B07D1" w:rsidRPr="005A01B1" w:rsidRDefault="003B07D1" w:rsidP="003B07D1">
      <w:pPr>
        <w:jc w:val="both"/>
        <w:rPr>
          <w:sz w:val="24"/>
        </w:rPr>
      </w:pPr>
      <w:r w:rsidRPr="005A01B1">
        <w:rPr>
          <w:sz w:val="24"/>
        </w:rPr>
        <w:t>Oferta powinna zawierać następujące dokumenty:</w:t>
      </w:r>
    </w:p>
    <w:p w14:paraId="34F88ACD" w14:textId="77777777" w:rsidR="003B07D1" w:rsidRPr="005A01B1" w:rsidRDefault="003B07D1" w:rsidP="003B07D1">
      <w:pPr>
        <w:jc w:val="both"/>
        <w:rPr>
          <w:sz w:val="24"/>
        </w:rPr>
      </w:pPr>
      <w:r w:rsidRPr="005A01B1">
        <w:rPr>
          <w:sz w:val="24"/>
        </w:rPr>
        <w:t xml:space="preserve">      a)   wypełniony załącznik nr 1 – wykaz artykułów,</w:t>
      </w:r>
    </w:p>
    <w:p w14:paraId="3DF19A2A" w14:textId="77777777" w:rsidR="003B07D1" w:rsidRPr="005A01B1" w:rsidRDefault="003B07D1" w:rsidP="003B07D1">
      <w:pPr>
        <w:jc w:val="both"/>
        <w:rPr>
          <w:sz w:val="24"/>
        </w:rPr>
      </w:pPr>
      <w:r w:rsidRPr="005A01B1">
        <w:rPr>
          <w:sz w:val="24"/>
        </w:rPr>
        <w:t xml:space="preserve">      b)   wypełniony załącznik nr 2 – formularz ofertowy,</w:t>
      </w:r>
    </w:p>
    <w:p w14:paraId="78B3FFDE" w14:textId="77777777" w:rsidR="003B07D1" w:rsidRPr="005A01B1" w:rsidRDefault="003B07D1" w:rsidP="003B07D1">
      <w:pPr>
        <w:ind w:left="360"/>
        <w:jc w:val="both"/>
        <w:rPr>
          <w:sz w:val="24"/>
        </w:rPr>
      </w:pPr>
      <w:r w:rsidRPr="005A01B1">
        <w:rPr>
          <w:sz w:val="24"/>
        </w:rPr>
        <w:t xml:space="preserve">c)  dokumenty uwiarygodniające Wykonawcę wskazane zgodnie z zapisem części X       niniejszej specyfikacji, </w:t>
      </w:r>
    </w:p>
    <w:p w14:paraId="2C6BD3D9" w14:textId="77777777" w:rsidR="003B07D1" w:rsidRPr="005A01B1" w:rsidRDefault="003B07D1" w:rsidP="003B07D1">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FAAEA66" w14:textId="77777777" w:rsidR="003B07D1" w:rsidRDefault="003B07D1" w:rsidP="003B07D1">
      <w:pPr>
        <w:ind w:left="720" w:hanging="360"/>
        <w:jc w:val="both"/>
        <w:rPr>
          <w:sz w:val="24"/>
        </w:rPr>
      </w:pPr>
      <w:r>
        <w:rPr>
          <w:sz w:val="24"/>
        </w:rPr>
        <w:t>e) oświadczenie, iż wszystkie warzywa i owoce posiadają Handlowy Dokument Identyfikacyjny dla produktów pochodzenia roślinnego wprowadzonych na rynek,</w:t>
      </w:r>
    </w:p>
    <w:p w14:paraId="366EAAF8" w14:textId="61816CB8" w:rsidR="003B07D1" w:rsidRPr="00371B3E" w:rsidRDefault="003B07D1" w:rsidP="003B07D1">
      <w:pPr>
        <w:ind w:left="720" w:hanging="360"/>
        <w:jc w:val="both"/>
        <w:rPr>
          <w:sz w:val="24"/>
        </w:rPr>
      </w:pPr>
      <w:r>
        <w:rPr>
          <w:sz w:val="24"/>
        </w:rPr>
        <w:t>f)   oświadczenie, iż wszystkie oferowane warzywa i owoce spełniają wymogi jakościowe określone dla danego asortymentu.</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lastRenderedPageBreak/>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310736FE"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D53BC1">
        <w:rPr>
          <w:rFonts w:ascii="Times New Roman" w:eastAsia="Calibri" w:hAnsi="Times New Roman"/>
          <w:b/>
          <w:bCs/>
          <w:sz w:val="24"/>
          <w:szCs w:val="24"/>
          <w:lang w:eastAsia="en-US"/>
        </w:rPr>
        <w:t>27</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2F5071">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6729F6">
        <w:rPr>
          <w:rFonts w:ascii="Times New Roman" w:eastAsia="Calibri" w:hAnsi="Times New Roman"/>
          <w:b/>
          <w:bCs/>
          <w:sz w:val="24"/>
          <w:szCs w:val="24"/>
          <w:lang w:eastAsia="en-US"/>
        </w:rPr>
        <w:t xml:space="preserve"> 12</w:t>
      </w:r>
      <w:r w:rsidRPr="006E6585">
        <w:rPr>
          <w:rFonts w:ascii="Times New Roman" w:eastAsia="Calibri" w:hAnsi="Times New Roman"/>
          <w:b/>
          <w:bCs/>
          <w:sz w:val="24"/>
          <w:szCs w:val="24"/>
          <w:lang w:eastAsia="en-US"/>
        </w:rPr>
        <w:t>.00</w:t>
      </w:r>
    </w:p>
    <w:p w14:paraId="5CFCD766" w14:textId="3E5BB5C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D53BC1">
        <w:rPr>
          <w:rFonts w:ascii="Times New Roman" w:eastAsia="Calibri" w:hAnsi="Times New Roman"/>
          <w:b/>
          <w:bCs/>
          <w:sz w:val="24"/>
          <w:szCs w:val="24"/>
          <w:lang w:eastAsia="en-US"/>
        </w:rPr>
        <w:t>27</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2F5071">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6729F6">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lastRenderedPageBreak/>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0F049746" w14:textId="77777777" w:rsidR="006729F6" w:rsidRDefault="006729F6"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lastRenderedPageBreak/>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6" w:name="_Część_XXV._Postanowienia"/>
      <w:bookmarkStart w:id="17" w:name="_Toc50159549"/>
      <w:bookmarkEnd w:id="16"/>
      <w:r>
        <w:rPr>
          <w:sz w:val="26"/>
        </w:rPr>
        <w:t>XX. Warunki umowy o wykonanie zamówienia.</w:t>
      </w:r>
    </w:p>
    <w:p w14:paraId="3D1402A2" w14:textId="77777777" w:rsidR="005F70A7" w:rsidRDefault="005F70A7" w:rsidP="00AF1E48">
      <w:pPr>
        <w:rPr>
          <w:sz w:val="24"/>
        </w:rPr>
      </w:pPr>
    </w:p>
    <w:p w14:paraId="43B5DEA9" w14:textId="3BAC03FB" w:rsidR="005F70A7" w:rsidRDefault="005F70A7" w:rsidP="00FA2D97">
      <w:pPr>
        <w:pStyle w:val="Tekstpodstawowy2"/>
      </w:pPr>
      <w:r>
        <w:t xml:space="preserve">Umowa zostanie zawarta według załączonego do SWZ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lastRenderedPageBreak/>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lastRenderedPageBreak/>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 xml:space="preserve">Wystąpienie z żądaniem, o którym mowa w art. 18 ust. 1 Rozporządzenia, nie ogranicza </w:t>
      </w:r>
      <w:r w:rsidRPr="0097394F">
        <w:rPr>
          <w:rFonts w:ascii="Times New Roman" w:hAnsi="Times New Roman"/>
          <w:sz w:val="24"/>
          <w:szCs w:val="24"/>
        </w:rPr>
        <w:lastRenderedPageBreak/>
        <w:t>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05974C86"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38198E">
        <w:rPr>
          <w:sz w:val="24"/>
        </w:rPr>
        <w:t>.</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50EEC1C8"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57EF8486" w14:textId="77777777" w:rsidR="002F5071" w:rsidRDefault="002F5071" w:rsidP="00AF1E48">
      <w:pPr>
        <w:rPr>
          <w:sz w:val="24"/>
        </w:rPr>
      </w:pPr>
    </w:p>
    <w:p w14:paraId="4EFE94B0" w14:textId="6DD67911"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A80C" w14:textId="77777777" w:rsidR="00F0182E" w:rsidRDefault="00F0182E">
      <w:r>
        <w:separator/>
      </w:r>
    </w:p>
  </w:endnote>
  <w:endnote w:type="continuationSeparator" w:id="0">
    <w:p w14:paraId="517D053B" w14:textId="77777777" w:rsidR="00F0182E" w:rsidRDefault="00F0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41B6D">
      <w:rPr>
        <w:rStyle w:val="Numerstrony"/>
        <w:noProof/>
      </w:rPr>
      <w:t>3</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9A70" w14:textId="77777777" w:rsidR="00F0182E" w:rsidRDefault="00F0182E">
      <w:r>
        <w:separator/>
      </w:r>
    </w:p>
  </w:footnote>
  <w:footnote w:type="continuationSeparator" w:id="0">
    <w:p w14:paraId="47DF5DB4" w14:textId="77777777" w:rsidR="00F0182E" w:rsidRDefault="00F01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743914258">
    <w:abstractNumId w:val="15"/>
    <w:lvlOverride w:ilvl="0">
      <w:startOverride w:val="1"/>
    </w:lvlOverride>
  </w:num>
  <w:num w:numId="2" w16cid:durableId="1310790446">
    <w:abstractNumId w:val="6"/>
    <w:lvlOverride w:ilvl="0">
      <w:startOverride w:val="1"/>
    </w:lvlOverride>
  </w:num>
  <w:num w:numId="3" w16cid:durableId="1037661324">
    <w:abstractNumId w:val="18"/>
    <w:lvlOverride w:ilvl="0">
      <w:startOverride w:val="1"/>
    </w:lvlOverride>
  </w:num>
  <w:num w:numId="4" w16cid:durableId="850148199">
    <w:abstractNumId w:val="28"/>
    <w:lvlOverride w:ilvl="0">
      <w:startOverride w:val="1"/>
    </w:lvlOverride>
  </w:num>
  <w:num w:numId="5" w16cid:durableId="1570117398">
    <w:abstractNumId w:val="17"/>
    <w:lvlOverride w:ilvl="0">
      <w:startOverride w:val="1"/>
    </w:lvlOverride>
  </w:num>
  <w:num w:numId="6" w16cid:durableId="166966900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0374141">
    <w:abstractNumId w:val="30"/>
    <w:lvlOverride w:ilvl="0">
      <w:startOverride w:val="2"/>
    </w:lvlOverride>
  </w:num>
  <w:num w:numId="8" w16cid:durableId="1667828556">
    <w:abstractNumId w:val="16"/>
    <w:lvlOverride w:ilvl="0">
      <w:startOverride w:val="1"/>
    </w:lvlOverride>
  </w:num>
  <w:num w:numId="9" w16cid:durableId="213020428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889119">
    <w:abstractNumId w:val="14"/>
    <w:lvlOverride w:ilvl="0">
      <w:startOverride w:val="1"/>
    </w:lvlOverride>
  </w:num>
  <w:num w:numId="11" w16cid:durableId="895168067">
    <w:abstractNumId w:val="34"/>
    <w:lvlOverride w:ilvl="0">
      <w:startOverride w:val="1"/>
    </w:lvlOverride>
  </w:num>
  <w:num w:numId="12" w16cid:durableId="1234119592">
    <w:abstractNumId w:val="22"/>
    <w:lvlOverride w:ilvl="0">
      <w:startOverride w:val="1"/>
    </w:lvlOverride>
  </w:num>
  <w:num w:numId="13" w16cid:durableId="760613604">
    <w:abstractNumId w:val="0"/>
    <w:lvlOverride w:ilvl="0">
      <w:startOverride w:val="1"/>
    </w:lvlOverride>
  </w:num>
  <w:num w:numId="14" w16cid:durableId="1370447289">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677314573">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339313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2648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6891716">
    <w:abstractNumId w:val="13"/>
    <w:lvlOverride w:ilvl="0">
      <w:startOverride w:val="1"/>
    </w:lvlOverride>
  </w:num>
  <w:num w:numId="19" w16cid:durableId="11775804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5154543">
    <w:abstractNumId w:val="20"/>
    <w:lvlOverride w:ilvl="0">
      <w:startOverride w:val="1"/>
    </w:lvlOverride>
  </w:num>
  <w:num w:numId="21" w16cid:durableId="9571839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8148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1688760">
    <w:abstractNumId w:val="4"/>
  </w:num>
  <w:num w:numId="24" w16cid:durableId="118955756">
    <w:abstractNumId w:val="21"/>
  </w:num>
  <w:num w:numId="25" w16cid:durableId="1237591243">
    <w:abstractNumId w:val="27"/>
  </w:num>
  <w:num w:numId="26" w16cid:durableId="1040397650">
    <w:abstractNumId w:val="26"/>
  </w:num>
  <w:num w:numId="27" w16cid:durableId="16173301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24012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69331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86759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0092524">
    <w:abstractNumId w:val="9"/>
  </w:num>
  <w:num w:numId="32" w16cid:durableId="1107693901">
    <w:abstractNumId w:val="1"/>
  </w:num>
  <w:num w:numId="33" w16cid:durableId="201404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3405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74713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55149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0407804">
    <w:abstractNumId w:val="12"/>
  </w:num>
  <w:num w:numId="38" w16cid:durableId="1578322503">
    <w:abstractNumId w:val="23"/>
  </w:num>
  <w:num w:numId="39" w16cid:durableId="43599371">
    <w:abstractNumId w:val="29"/>
  </w:num>
  <w:num w:numId="40" w16cid:durableId="20122500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7831532">
    <w:abstractNumId w:val="35"/>
  </w:num>
  <w:num w:numId="42" w16cid:durableId="594823915">
    <w:abstractNumId w:val="8"/>
  </w:num>
  <w:num w:numId="43" w16cid:durableId="19007004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0C4E"/>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14EE"/>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5071"/>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198E"/>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07D1"/>
    <w:rsid w:val="003B2074"/>
    <w:rsid w:val="003B2530"/>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0BE"/>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29F6"/>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837F2"/>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884"/>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1299"/>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08E"/>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3BC1"/>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062E"/>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3A1"/>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182E"/>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B6D"/>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38F"/>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6622"/>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3585445D-7F50-4944-B340-EE18B867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98277217">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EA5B-E81F-4092-9665-34AC2DBD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1</Pages>
  <Words>4555</Words>
  <Characters>27333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221</cp:revision>
  <cp:lastPrinted>2021-06-15T11:21:00Z</cp:lastPrinted>
  <dcterms:created xsi:type="dcterms:W3CDTF">2017-01-16T09:19:00Z</dcterms:created>
  <dcterms:modified xsi:type="dcterms:W3CDTF">2022-12-19T19:03:00Z</dcterms:modified>
</cp:coreProperties>
</file>